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55" w:rsidRDefault="00146DD3">
      <w:pPr>
        <w:rPr>
          <w:lang w:val="uk-UA"/>
        </w:rPr>
      </w:pPr>
      <w:r>
        <w:fldChar w:fldCharType="begin"/>
      </w:r>
      <w:r>
        <w:instrText xml:space="preserve"> HYPERLINK "http://prof.osvita.org.ua/uk/methods/articles/1.html" </w:instrText>
      </w:r>
      <w:r>
        <w:fldChar w:fldCharType="separate"/>
      </w:r>
      <w:r w:rsidR="00175887" w:rsidRPr="00BB031B">
        <w:rPr>
          <w:rStyle w:val="a3"/>
        </w:rPr>
        <w:t>http://prof.osvita.org.ua/uk/methods/articles/1.html</w:t>
      </w:r>
      <w:r>
        <w:rPr>
          <w:rStyle w:val="a3"/>
        </w:rPr>
        <w:fldChar w:fldCharType="end"/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Психологічне забезпечення 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ільної освіти</w:t>
      </w:r>
    </w:p>
    <w:p w:rsidR="00175887" w:rsidRPr="00175887" w:rsidRDefault="00175887" w:rsidP="00175887">
      <w:pPr>
        <w:shd w:val="clear" w:color="auto" w:fill="FFFFFF"/>
        <w:spacing w:after="210" w:line="240" w:lineRule="auto"/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 xml:space="preserve">ільна освіта намагається поєднати програми для підліткового та юнацького віку. </w:t>
      </w:r>
      <w:proofErr w:type="gramStart"/>
      <w:r w:rsidRPr="00175887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З</w:t>
      </w:r>
      <w:proofErr w:type="gramEnd"/>
      <w:r w:rsidRPr="00175887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 xml:space="preserve"> одного боку, у період шкільного навчання психічний розвиток ще не завершений, тому необхідно забезпечити різноманітність і універсальність змісту освіти. </w:t>
      </w:r>
      <w:proofErr w:type="gramStart"/>
      <w:r w:rsidRPr="00175887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>З</w:t>
      </w:r>
      <w:proofErr w:type="gramEnd"/>
      <w:r w:rsidRPr="00175887">
        <w:rPr>
          <w:rFonts w:ascii="Arial" w:eastAsia="Times New Roman" w:hAnsi="Arial" w:cs="Arial"/>
          <w:i/>
          <w:iCs/>
          <w:color w:val="999999"/>
          <w:sz w:val="20"/>
          <w:szCs w:val="20"/>
          <w:lang w:eastAsia="ru-RU"/>
        </w:rPr>
        <w:t xml:space="preserve"> іншого боку, цю універсальність доводиться поєднувати із завданнями професійного самовизначення, властивого юнацтву й ранній дорослості.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Введення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ільного навчання є одним з основних напрямів модернізації освіти. Основна мета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ільного навчання - розвантажити шкільні програми й надати школярам можливість поглибленого вивчення тих предметів, які їх більше захоплюють і будуть необхідні для його подальших життєвих планів.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Принцип індивідуалізації в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ільних класах передбачає:</w:t>
      </w:r>
    </w:p>
    <w:p w:rsidR="00175887" w:rsidRPr="00175887" w:rsidRDefault="00175887" w:rsidP="00175887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тривалу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ідготовку засобами освіти до широкого вибору учнями старших класів типу профільної освіти;</w:t>
      </w:r>
    </w:p>
    <w:p w:rsidR="00175887" w:rsidRPr="00175887" w:rsidRDefault="00175887" w:rsidP="00175887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реальну можливість зміни ними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ілю на будь-якому етапі профільного навчання;</w:t>
      </w:r>
    </w:p>
    <w:p w:rsidR="00175887" w:rsidRPr="00175887" w:rsidRDefault="00175887" w:rsidP="00175887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самостійне визначення завдань своєї базової, варіативної й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ільної освіти з урахуванням своїх (і родини) можливостей і виявлених здібностей, змін життєвих і професійних планів.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Завдання психологічного супроводу 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ільної освіти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Рання професіоналізація й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іалізація знань припускає вибіркове навантаження на окремі сторони психіки дитини. Без грамотного психологічного супроводу ці обставини можуть призвести до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нерівном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ірності інтелектуального й особистісного розвитку дітей.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Тому одним з найважливіших завдань психологічного супроводу є моніторинг і своєчасне усунення можливих факторів виникнення нерівномірності розвитку дітей та </w:t>
      </w:r>
      <w:proofErr w:type="gramStart"/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ідлітків.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Сьогодні ситуація склалася так, що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ідлітки часто здійснюють вимушений вибір профілю подальшого навчання. В умовах несамостійної професіоналізації звичайні вікові завдання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ідліткового віку виникають перед учнями в спотвореній формі.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Наприклад, завдання формування часової перспективи перед дитиною взагалі не ставиться, оскільки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більшості випадків це завдання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неї "вирішують" батьки.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 не формується часова перспектива і - як наслідок - втрачається навчальна мотивація в даний момент. Тому одним із завдань психологічного супроводу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ільного навчання є </w:t>
      </w: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профорієнтація.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Відомо, що люди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ізняться своїми індивідуальними особливостями, це означає, що вони будуть більш успішними в певних видах діяльності й навчання, ніж інші. Ця обставина перетвориться на завдання </w:t>
      </w: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вступної діагностики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що дозволяє прогнозувати й усувати можливі труднощі в навчальній діяльності.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Отже, психологічний супровід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ільного навчання передбачає три завдання:</w:t>
      </w:r>
    </w:p>
    <w:p w:rsidR="00175887" w:rsidRPr="00175887" w:rsidRDefault="00175887" w:rsidP="00175887">
      <w:pPr>
        <w:numPr>
          <w:ilvl w:val="0"/>
          <w:numId w:val="2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моніторинг і своєчасне усунення можливих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нерівном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ірностей розвитку учнів;</w:t>
      </w:r>
    </w:p>
    <w:p w:rsidR="00175887" w:rsidRPr="00175887" w:rsidRDefault="00175887" w:rsidP="00175887">
      <w:pPr>
        <w:numPr>
          <w:ilvl w:val="0"/>
          <w:numId w:val="2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поглиблену профорієнтацію учнів;</w:t>
      </w:r>
    </w:p>
    <w:p w:rsidR="00175887" w:rsidRPr="00175887" w:rsidRDefault="00175887" w:rsidP="00175887">
      <w:pPr>
        <w:numPr>
          <w:ilvl w:val="0"/>
          <w:numId w:val="2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психологічну діагностику при відборі учнів у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ільні класи.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Моніторинг і своєчасне усунення відхилень у розвитку учнів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цьому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ідході до профільного навчання виходимо з положення Д.Ельконіна про те, що </w:t>
      </w:r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рушійною силою психічного розвитку є не форма, а зміст навчання.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 значить, що без спеціальної корекції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ільне навчання може призвести до однобокого психічного розвитку. Для того, щоб усунути ці небажані побічні ефекти, необхідно систематично відслідковувати розвиток старшокласника у процесі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ільного навчання.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досягнення цієї мети використовують два класи методів - </w:t>
      </w: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тести інтелекту й тести досягнень:</w:t>
      </w:r>
    </w:p>
    <w:p w:rsidR="00175887" w:rsidRPr="00175887" w:rsidRDefault="00175887" w:rsidP="00175887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тести інтелекту здебільшого спрямовані на вимірювання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івня розвитку логічних операцій на основі різного інтуїтивно підібраного змісту,</w:t>
      </w:r>
    </w:p>
    <w:p w:rsidR="00175887" w:rsidRPr="00175887" w:rsidRDefault="00175887" w:rsidP="00175887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тести досягнень дозволяють оцінити конкретні знання й навички учнів безвідносно до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івня розвитку логічних операцій.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чином, ми маємо окремо діагностику розвитку й окремо діагностику навчання.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Поглиблена особистісно орієнтована профорієнтаційна робота з учнями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Профорієнтаційна робота з учнями у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ільному навчанні має свої специфічні риси. Одна з особливостей полягає в тому, що більшість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ільних класів уже так чи інакше, вільно або вимушено вибрали певну спеціалізацію навчання.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більшості випадків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ідліток має вже готовий план навчання у ВНЗ й професіоналізацію. Така форма професійного самовизначення "ззовні" може призвести до пасивності, втрати мотивації навчання, зниження інтересу до власної особистості й розмитості самосвідомості.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Іншою крайністю є передчасне обмеження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ітогляду й самосвідомості старшокласника, пов'язане з вузько утилітарним ставленням до освіти.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ільне навчання найефективніше в тих випадках, коли немає часу на навчання в процесі роботи. Для сучасних "короткоживучих" професій необхідні вже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ідготовлені кадри, готові відразу приступити до роботи. Це значить, що вибі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повинен бути усвідомленим, самостійним.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Маємо парадокс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з одного боку, часу на вибі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немає, з іншого боку - цей вибір повинен бути вільним, усвідомленим, самостійним.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ідліток, що опинився під подвійним тиском, найчастіше не здатний знайти адекватний вихід без психологічної допомоги. Це означа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є,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що профорієнтаційна робота повинна бути обов'язковим і значним за часом компонентом будь-якого профільного навчання. Причому особистісно орієнтована профорієнтаційна робота повинна стати не тільки завданням психологічної служби,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 й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універсальним компонентом освітнього процесу.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Профорієнтаційну роботу варто спрямувати на розвиток особистісної активності учнів, переробку некритично засвоєних від дорослих професійних планів й оцінок. За умови проведення такої роботи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ільне навчання дає можливість формувати чіткий життєвий план, досягти високого рівня професіоналізму на ранніх етапах становлення кар'єри й відповідає запитам сучасного суспільства. Практика психологічного супроводу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ільних класів дозволяє узагальнити результати самих різних спостережень й експериментів і по-новому подивитися на сучасне дитинство і його періодизацію.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методичного забезпечення організації поглибленної профорієнтаційної роботи обласний науково-методичний центр психології і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іології освіти розробив для практичних психологів "Картку професійної спрямованості", яка містить перелік діагностик та алгоритм діагностичної діяльності.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Результати психологічного супроводу 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ільних класів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іальна ситуація розвитку дітей, що навчаються в профільних класах, полягає в тому, що суспільство в особі батьків і вчителів висуває дитині суперечливі вимоги включитися в процес професіоналізації, удосконалюватися в одному напрямку й мати універсальні знання, набори особистісних рис. Залишаються невичерпаними мотиви підліткового періоду, спрямовані на спілкування з однолітками.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Ця специфічна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іальна ситуація розвитку породжує низку діяльностей, спрямованих на розв'язання протиріччя. Такими специфічними діяльностями є форсоване навчання й особливі захоплення.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Особливі захоплення ві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ізняються від "хобі-реакцій", описаних у психіатрії А.Лічко, трьома ознаками: у свідомості учня вони пов'язані з його професіоналізацією; вони забезпечують тісне змістовне спілкування із групою однолітків, а не відривають від нього;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ідлітки прагнуть до суспільно значимої реалізації свого захоплення. Захоплення дозволяють вирішити протиріччя, закладене в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іальній ситуації дітей.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одного боку, стає можливим продовження спілкування з однолітками, а з іншого боку - інтенсивне навчання й професіоналізація. Здебільшого захоплення мають універсальний характер! Найяскравішим прикладом є захоплення комп'ютером або окремими навчальними предметами - засобом реалізації професій. Ця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ідна для нового вікового періоду діяльність приводить до виникнення новоутворень. Таким унікальним новоутворенням виявляється, наприклад, псевдопрофесійний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ітогляд, що є особливим варіантом "почуття дорослості" і виникає усередині діяльності особливих захоплень.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Псевдопрофесійний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ітогляд являє собою набір стереотипів мислення, переживання й поведінки, які характерні для професіоналів певної галузі. Цей світогляд відрізняється яскравою виразністю й стає центром особистості підлітка.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Р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івні допрофільноі підготовки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Центральною ланкою переходу до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ільної школи повинна стати </w:t>
      </w: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допрофільна підготовка випускників основної школи.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Основні завданнями допрофільної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ідготовки:</w:t>
      </w:r>
    </w:p>
    <w:p w:rsidR="00175887" w:rsidRPr="00175887" w:rsidRDefault="00175887" w:rsidP="00175887">
      <w:pPr>
        <w:numPr>
          <w:ilvl w:val="0"/>
          <w:numId w:val="4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ідготовка учня до усвідомленого вибору профілю подальшого навчання;</w:t>
      </w:r>
    </w:p>
    <w:p w:rsidR="00175887" w:rsidRPr="00175887" w:rsidRDefault="00175887" w:rsidP="00175887">
      <w:pPr>
        <w:numPr>
          <w:ilvl w:val="0"/>
          <w:numId w:val="4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організація проби вибору;</w:t>
      </w:r>
    </w:p>
    <w:p w:rsidR="00175887" w:rsidRPr="00175887" w:rsidRDefault="00175887" w:rsidP="00175887">
      <w:pPr>
        <w:numPr>
          <w:ilvl w:val="0"/>
          <w:numId w:val="4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організація знайомства учнів зі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св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ітом професій.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основній школі для учнів 8-9-х класів апробуються 4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івні допрофільної підготовки. Розглянемо їх докладніше.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івень I. Введення курсі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за вибором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розробки програми курсу за вибором необхідно: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Проаналізувати змі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навчального предмета в рамках обраного профілю.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Визначити, чим змі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курсу за вибором буде відрізнятися від базового або профільного курсу.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Визначити тему, змі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мету курсу, його функцію в рамках профілю.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Розділити змі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програми курсу на модулі, розділи, теми, відвести необхідну кількість годин на кожний з них.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З'ясувати можливість забезпечити цей курс навчальними й допоміжними матеріалами: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ідручниками, хрестоматіями, дидактичними матеріалами, лабораторним устаткуванням, реактивами. Скласти список літератури для вчителя й для учні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Виділити основні види діяльності учнів, визначити частку самостійної роботи, творчої діяльності учні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при вивченні курсу. Якщо програма курсу припускає виконання практичних робіт, лабораторних досвідів, проведення екскурсій, виконання проектів, то їхній опис має бути у програмі.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Продумати, які освітні продукти будуть створені учнями в процесі освоєння програми курсу.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Визначити критерії, що дозволяють оцінити успішність освоєння програми курсу.</w:t>
      </w:r>
    </w:p>
    <w:p w:rsidR="00175887" w:rsidRPr="00175887" w:rsidRDefault="00175887" w:rsidP="00175887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Продумати форму звітності учнів за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ідсумками освоєння програми курсу: проект, реферат, виступ тощо.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івень 2. Організація проектної, 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ідницької діяльності школярів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ідницька діяльність учнів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пов'язана з вирішенням учнями творчого, дослідницького завдання із заздалегідь невідомим рішенням (на відміну від практикуму, що служить для ілюстрації законів природи), що передбачає наявність основних етапів, характерних для дослідження в науковій сфері, виходячи із прийнятих традицій: постановка проблеми, вивчення теорії, присвяченій проблематиці, добі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методик дослідження й практичне оволодіння ними, збір власного матеріалу, його аналіз і узагальнення, науковий коментар, власні висновки.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Проектна діяльність учнів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спільна навчально-пізнавальна, творча або ігрова діяльність учнів, що має мету, методи, способи діяльності, спрямована на досягнення загального результату діяльності. Неодмінною умовою проектної діяльності є наявність заздалегідь вироблених очікувань щодо кінцевого продукту діяльності, етапів проектування (вироблення концепції, визначення завдань проекту, доступних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і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оптимальних ресурсів діяльності, створення плану, програм й організація діяльності по реалізації проекту, його осмислення й рефлексію результатів діяльності).</w:t>
      </w:r>
      <w:proofErr w:type="gramEnd"/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Проектно-дослідницька діяльність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діяльність щодо проектування власного дослідження, що припускає визначення мети, принципів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ідбору методик, планування перебігу дослідження, очікуваних результатів, оцінка реалізації дослідження, необхідних ресурсів.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Завдання </w:t>
      </w: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ідницької діяльності в сучасній школі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сучасних умовах, коли актуальне питання про зниження навчального навантаження дітей, термін "дослідницька діяльність учнів" набуває іншого значення. В ньому зменшується частка профорієнтаційного компонента, факторів наукової новизни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іджень і зростає зміст, пов'язаний з розумінням дослідницької діяльності як інструмента підвищення якості освіти.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Відмінності між </w:t>
      </w: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ідницькою й проектною діяльністю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Головним результатом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ідницької діяльності є інтелектуальний продукт, що встановлює істину в результаті процедури дослідження й поданий у стандартному вигляді.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цьому проектна організація процесу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досл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ідження є засобом встановлення істини, способом найефективнішого пізнання.</w:t>
      </w: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Р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івень 3. Професійне самовизначення старшокласників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Модель самовизначення (табл. 1), запропонована П.Лернером, не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івнозначна "паспорту", "стандарту людини", у яких описуються деякі набори знань, умінь і навичок і параметри "соціального характеру" (Е.Фромм), що дозволяє в "культурах корисності" (О.Асмолов) не тільки формувати "соціальне замовлення", а й закладати їх у фундамент проектування районних освітніх систем, програм у конкретних навчальних закладах. Модель являє собою "пучок векторів" долучення людини до актуальної культури, можливих для розвитку в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іально-економічних умовах засобами освіти.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Модель самовизначення учнів у старших </w:t>
      </w: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ільних класах може бути реалізована лише за умови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75887" w:rsidRPr="00175887" w:rsidRDefault="00175887" w:rsidP="00175887">
      <w:pPr>
        <w:numPr>
          <w:ilvl w:val="0"/>
          <w:numId w:val="6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консолідації зусиль учні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і педагогів у прийнятті й здійсненні супроводу;</w:t>
      </w:r>
    </w:p>
    <w:p w:rsidR="00175887" w:rsidRPr="00175887" w:rsidRDefault="00175887" w:rsidP="00175887">
      <w:pPr>
        <w:numPr>
          <w:ilvl w:val="0"/>
          <w:numId w:val="6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при організації освітнього процесу істотною є постановка завдання щодо освоєння учнями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ізних типів діяльності (зокрема, дослідницької й проектної), що є ключовою умовою розвитку універсальних компетенції й навичок;</w:t>
      </w:r>
    </w:p>
    <w:p w:rsidR="00175887" w:rsidRPr="00175887" w:rsidRDefault="00175887" w:rsidP="00175887">
      <w:pPr>
        <w:numPr>
          <w:ilvl w:val="0"/>
          <w:numId w:val="6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за відмови від тоталітарного виховання "за зразком" на користь створення збагаченого освітнього середовища, що супроводжує індивідуальний розвиток і самовизначення дитини й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ідлітка.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Таблиця 1 - Структура моделі самовизначення старших школярі</w:t>
      </w: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</w:t>
      </w:r>
      <w:proofErr w:type="gramEnd"/>
    </w:p>
    <w:tbl>
      <w:tblPr>
        <w:tblW w:w="76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5358"/>
      </w:tblGrid>
      <w:tr w:rsidR="00175887" w:rsidRPr="00175887" w:rsidTr="00175887">
        <w:trPr>
          <w:tblCellSpacing w:w="15" w:type="dxa"/>
        </w:trPr>
        <w:tc>
          <w:tcPr>
            <w:tcW w:w="1500" w:type="pc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Самовизначення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Ознаки самовизначення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Життєве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Особисте й сімейне благополуччя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Здоров'я особисте й близьких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Прагнення повноцінного життя й долучення до культури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Якість життя (достаток, відпочинок, дозвілля)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Добропорядність і охайність життя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Збереження й збільшення матеріальних, духовних і культурних цінностей родини, роду й народу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Ефективність як працівника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Суспільне й культурне призначення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Виховання майбутніх дітей</w:t>
            </w:r>
            <w:proofErr w:type="gramEnd"/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Валеологічне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Фізичні можливості й стан здоров'я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Псих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ічне здоров'я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Генетична спадщина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Звички, схильності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Знання превентивної медицини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Когнітивне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Ступінь і якість оволодіння змістом середньої освіти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Широта світогляду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Коло читання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Доступність інформаційних ресурсів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Коло спілкування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отреби в додатковій освіті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Моральне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Практична реалізація життєвих планів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Пошук відповіді на запитання: "ким бути?" і "яким бути?"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Співвідношення між реальним та ідеальним "Я"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Уявлення про себе в минулому, сьогоденні й майбутньому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Аномальна емоційно-психологічна симптоматика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Акцентуації характеру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ідносна стабілізація внутрішнього й зовнішнього життя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Професійне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Схвальна сфера професійної діяльності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 xml:space="preserve">Уявлення про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іт праці й професій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Характер і умови майбутньої трудової діяльності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Кращі професії й спеціальності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Траєкторії одержання професії й спеціальності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Особисті професійно важливі риси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lastRenderedPageBreak/>
              <w:t>Підготовленість до здобутті професійної освіти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Досвід продуктивної роботи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lastRenderedPageBreak/>
              <w:t>Соц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іально-економічне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Законослухняність і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соц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іальна безконфліктність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Громадська активність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Ступінь особистої волі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Соціальний статус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Тендерні аспекти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Найманий робітник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Приватний підприємець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Громадянство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Домагання щодо оплати праці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Зайнятість професійною роботою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Технологічне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Виконання тонких операцій ручними інструментами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 xml:space="preserve">Керування машинною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техн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ікою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Виконання й розуміння креслень, схем, графіків 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Володіння побутовою й офісною технікою</w:t>
            </w:r>
          </w:p>
        </w:tc>
      </w:tr>
      <w:tr w:rsidR="00175887" w:rsidRPr="00175887" w:rsidTr="00175887">
        <w:trPr>
          <w:trHeight w:val="30"/>
          <w:tblCellSpacing w:w="15" w:type="dxa"/>
        </w:trPr>
        <w:tc>
          <w:tcPr>
            <w:tcW w:w="0" w:type="auto"/>
            <w:gridSpan w:val="2"/>
            <w:shd w:val="clear" w:color="auto" w:fill="F0E9CE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Види супроводу самовизначення школярів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Супровід самовизначення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ідлітків передбачає педагогічне, психологічне й гуманітарно-соціальне забезпечення. У таблиці 2 вказано: якщо супроводжувати, то куди й до чого, а також подано ситуації індивідуального самовизначення, що потребують професійної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ідтримки з боку всіх суб'єктів освітнього середовища.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Таблиця 2</w:t>
      </w:r>
    </w:p>
    <w:tbl>
      <w:tblPr>
        <w:tblW w:w="76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298"/>
        <w:gridCol w:w="2472"/>
      </w:tblGrid>
      <w:tr w:rsidR="00175887" w:rsidRPr="00175887" w:rsidTr="00175887">
        <w:trPr>
          <w:tblCellSpacing w:w="15" w:type="dxa"/>
        </w:trPr>
        <w:tc>
          <w:tcPr>
            <w:tcW w:w="0" w:type="auto"/>
            <w:gridSpan w:val="3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Супровід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Педагогічний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Психологічний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Гуманітарно-соціальний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Культивування схильностей і задатків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Діагностика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ісляшкільні плани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Ключові компетенції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ікові кризи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Використання й доповнення потенціалу родини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Індивідуальні освітні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траєктор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Образ "Я"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Життєві плани й спрямування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Інформаційне забезпечення індивідуальних освітніх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траєктор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Корекція самооцінки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Ц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іннісні орієнтації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Технологічні й професійні проби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Ділові й вольові риси особистості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Прийнятний бізнес дітей і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ідлітків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Індивідуалізація педагогічних технологій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Психологічне консультування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Гранти, стипендії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Індивідуальні освітні запити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Інтимно-особистісні стосунки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Правове консультування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Творчі конкурси, олімпіади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Психологічний комфорт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Трудові об'єднання школярі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ітогляд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Самоідентифікація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Дозвілля, відпочинок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Коло читання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Емпатія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Прийом до ВНЗ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Допитливість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Комунікабельність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Волонтерство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Розширення креативного поля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Толерантність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Здоровий спосіб життя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Патріотизм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Конфліктні ситуації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Міжнаціональні стосунки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Відкритий розум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Стресостійкість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псих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Громадянська позиція,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соц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іальна активність</w:t>
            </w:r>
          </w:p>
        </w:tc>
      </w:tr>
      <w:tr w:rsidR="00175887" w:rsidRPr="00175887" w:rsidTr="00175887">
        <w:trPr>
          <w:trHeight w:val="30"/>
          <w:tblCellSpacing w:w="15" w:type="dxa"/>
        </w:trPr>
        <w:tc>
          <w:tcPr>
            <w:tcW w:w="0" w:type="auto"/>
            <w:gridSpan w:val="3"/>
            <w:shd w:val="clear" w:color="auto" w:fill="F0E9CE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146DD3" w:rsidRDefault="00146DD3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val="uk-UA" w:eastAsia="ru-RU"/>
        </w:rPr>
      </w:pPr>
    </w:p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Р</w:t>
      </w:r>
      <w:proofErr w:type="gramEnd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івень 4. Організація роботи з професійної орієнтації учні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</w:t>
      </w:r>
      <w:proofErr w:type="gramEnd"/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Профорієнтаційна робота в закладі освіти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це спеціально організована діяльність, спрямована на надання учням психолого-педагогічної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ідтримки в проектуванні ними варіантів продовження навчання у профільних і непрофільних класах старшої школи, в установах професійної освіти.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Елементи профорієнтаційної роботи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75887" w:rsidRPr="00175887" w:rsidRDefault="00175887" w:rsidP="00175887">
      <w:pPr>
        <w:numPr>
          <w:ilvl w:val="0"/>
          <w:numId w:val="7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допомога кожному школяреві у виборі напрямку й місця подальшого навчання;</w:t>
      </w:r>
    </w:p>
    <w:p w:rsidR="00175887" w:rsidRPr="00175887" w:rsidRDefault="00175887" w:rsidP="00175887">
      <w:pPr>
        <w:numPr>
          <w:ilvl w:val="0"/>
          <w:numId w:val="7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робота з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ідвищення готовності підлітка до соціального, професійного й культурного самовизначення.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цій діяльності можна виділити кілька етапів, і на кожному з них досить чітко вимальовується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ій "фронт робіт":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Виявляють освітні запити учнів, що закінчують 8-й клас. На цьому етапі здійснюється:</w:t>
      </w:r>
    </w:p>
    <w:p w:rsidR="00175887" w:rsidRPr="00175887" w:rsidRDefault="00175887" w:rsidP="00175887">
      <w:pPr>
        <w:numPr>
          <w:ilvl w:val="0"/>
          <w:numId w:val="8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надання "освітньої карти" району,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іста, області;</w:t>
      </w:r>
    </w:p>
    <w:p w:rsidR="00175887" w:rsidRPr="00175887" w:rsidRDefault="00175887" w:rsidP="00175887">
      <w:pPr>
        <w:numPr>
          <w:ilvl w:val="0"/>
          <w:numId w:val="8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попередня діагностика освітнього запиту школярів з урахуванням думки їх батьків, основних мотивів майбутнього вибору, інтересів і схильностей.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дев'ятикласників передбачається:</w:t>
      </w:r>
    </w:p>
    <w:p w:rsidR="00175887" w:rsidRPr="00175887" w:rsidRDefault="00175887" w:rsidP="00175887">
      <w:pPr>
        <w:numPr>
          <w:ilvl w:val="0"/>
          <w:numId w:val="9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навчання способів вибору індивідуального маршруту освітньої діяльності;</w:t>
      </w:r>
    </w:p>
    <w:p w:rsidR="00175887" w:rsidRPr="00175887" w:rsidRDefault="00175887" w:rsidP="00175887">
      <w:pPr>
        <w:numPr>
          <w:ilvl w:val="0"/>
          <w:numId w:val="9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організація психолого-педагогічної діагностики й самодіагностики, що дозволяє шукати версії про схильність до напрямків освітньої діяльності в умовах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ільного навчання;</w:t>
      </w:r>
    </w:p>
    <w:p w:rsidR="00175887" w:rsidRPr="00175887" w:rsidRDefault="00175887" w:rsidP="00175887">
      <w:pPr>
        <w:numPr>
          <w:ilvl w:val="0"/>
          <w:numId w:val="9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виявлення основних проблем у виборі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ілю навчання.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 закінченні 9-го класу:</w:t>
      </w:r>
    </w:p>
    <w:p w:rsidR="00175887" w:rsidRPr="00175887" w:rsidRDefault="00175887" w:rsidP="00175887">
      <w:pPr>
        <w:numPr>
          <w:ilvl w:val="0"/>
          <w:numId w:val="10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реалізуються "проби вибору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ілю навчання". Із цією метою доцільно почати одноденне або дводенне "занурення" у проблему вибору. Ця процедура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повинна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бути заздалегідь передбачена навчальним планом школи;</w:t>
      </w:r>
    </w:p>
    <w:p w:rsidR="00175887" w:rsidRPr="00175887" w:rsidRDefault="00175887" w:rsidP="00175887">
      <w:pPr>
        <w:numPr>
          <w:ilvl w:val="0"/>
          <w:numId w:val="10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виявляється відповідність можливостей школяра вимогам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проф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ілю;</w:t>
      </w:r>
    </w:p>
    <w:p w:rsidR="00175887" w:rsidRPr="00175887" w:rsidRDefault="00175887" w:rsidP="00175887">
      <w:pPr>
        <w:numPr>
          <w:ilvl w:val="0"/>
          <w:numId w:val="10"/>
        </w:numPr>
        <w:shd w:val="clear" w:color="auto" w:fill="FFFFFF"/>
        <w:spacing w:after="45" w:line="240" w:lineRule="auto"/>
        <w:ind w:left="27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спі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вв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ідносяться аргументи "за" й "проти" певного вибору профілю. При цьому важливо, щоб у ранжируванні факторів незалежно брали участь сам учень, його батьки й учителі.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метою визначення професійних намірів школярів працівники соціально психологічної служби умовно поділяють школярів на чотири категорії за ступенем сформованості професійних планів, які можна з'ясувати в групових (масових) опитуваннях.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Робота з кожною окремою категорією учнів проводиться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ізними способами й прийомами. Для проведення індивідуальних та групових консультацій практичному психологу рекомендується алгоритм "Картки професійної спрямованості школяра".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За ступенем сформованості професійних планів визначають школярі</w:t>
      </w:r>
      <w:proofErr w:type="gramStart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 які: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1. Вже визначили своє майбутнє покликання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Вони мають потребу в тому, щоб їм було вказано шляхи подальшого здобуття освіти, вибору навчального закладу, в якому можна здобути спеціальність, перспективи роботи. Іноді необхідно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ідказати шляхи самовиховання, самоосвіти, підготовки себе до опанування професії.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2. Не знають, куди йти вчитися або працювати, не мають конкретних життєвих професійних планів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Ця категорія учнів має потребу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роботі з професійної освіти. Ознайомлення з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ізними професіями й спеціальностями допомагає їм визначити своє майбутнє. У роботі з учнями можна застосовувати анкети на виявлення інтересів, результати яких можуть бути першим кроком для наступного самовизначення й допоможуть школярам звузити сферу вибору й зорієнтуватися в розмаїтті професій.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3. Обрали свою майбутню професію, але з певних причин опанування професії або істотно обмежене для них, або зовсім протипоказане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(за станом здоров'я; за наявності суттєво завищеного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івня домагань, за неадекватної самооцінки). Учням необхідна робота з переорієнтації. Завданням діяльності шкільного психолога має стати визначення системи педагогічних і психологічних впливів на школяра з метою його переорієнтації. Переорієнтація передбачає вирішення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ідлітком досить складного протиріччя між власним бажанням, з одного боку, і неможливістю (або обмеженістю) займатися цією діяльністю - з іншого.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4. Обрали одразу кілька професій, часто протилежного характеру</w:t>
      </w: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Ця чисельна група учнів характеризується тим, що у визначенні свого професійного вибору школярі орієнтуються винятково на поради й думки товаришів і оточення, не замислюючись над своїми можливостями та переваги професії.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Думки й поради бувають суперечливими, тому професійне самовизначення цих учнів стає надзвичайно складною справою. Саме такі школярі найбільше потребують допомоги з боку шкільного психолога. Основною метою роботи шкільного психолога з учнями є не тільки вирішення протиріч, а й здійснення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ійкого й цілеспрямованого професійного вибору.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того, щоб вибі</w:t>
      </w:r>
      <w:proofErr w:type="gramStart"/>
      <w:r w:rsidRPr="0017588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професії був свідомим і вільним, необхідно враховувати принаймні три фактори: інформованість (орієнтування) школярів про світ професій, знання своїх особистісних можливостей, уміння співвідносити особистісні риси з вимогами до професії або спеціальності.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Вибі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професії завжди пов'язаний з такими категоріями, як можливості й потреби, інтерес і мета, такими факторами, як нахили й мотивація, передбачення результатів ухвалених рішень.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Однією з невирішених проблем є рання поетапна профорієнтаційна діагностика, що враховувала б 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ікові зміни мотиваційної сфери дитини (табл. 3).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Таблиця 3</w:t>
      </w:r>
    </w:p>
    <w:tbl>
      <w:tblPr>
        <w:tblW w:w="76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3079"/>
        <w:gridCol w:w="3044"/>
      </w:tblGrid>
      <w:tr w:rsidR="00175887" w:rsidRPr="00175887" w:rsidTr="00175887">
        <w:trPr>
          <w:tblCellSpacing w:w="15" w:type="dxa"/>
        </w:trPr>
        <w:tc>
          <w:tcPr>
            <w:tcW w:w="1000" w:type="pc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Види діяльності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Мотиваційні зміни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Ознайомлення зі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ітом найпоширеніших (популярних) професій, з професіями своїх батьків і близьких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Формується правильне емоційне ставлення до процесу праці, з'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являється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бажання займатися корисною працею, якісно виконувати доручену справу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Ознайомлення з професіями своїх батьків і близьких людей, з професіями свого регіону. Повинні знати, де і які знання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вони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можуть застосовувати у своєму регіоні (районі). Ознайомитися з потребами району в певних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спец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іальностях і звернути увагу саме на ці спеціальності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Формуються прогностичні вміння щодо трудової діяльності, можливостей реалізації обраної професії в районі (регіоні). Відбувається виділення професійної мети, професійної мрії (чого хоче досягти, чого може досягти)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Введення курсу "Основи вибору професії". Вивчення професійних інтересів і нахилів. З'ясування подальших життєвих планів. Визначення наявності рейтингу професій. Рекомендується вибі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однієї з п'яти сфер професійної діяльності: людина-природа, людина-техніка, людина-людина, людина-знакова система, людина-художній образ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Формуються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ст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ійкі професійні інтереси, відбувається вибір подальшого шляху навчання в 10-11-х класах.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ідсилюється увага до подальших освітніх планів. Школярі отримують інформацію про світ професій, спеціальності, навчальні заклади. З'ясовуються уявлення про перешкоди на шляху до улюбленої професії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Вивчення планів продовження освіти й вибору подальшої професійної діяльності, вибі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 профілю навчання. Наявність власного рейтингу професій. Допомога у виборі майбутньої професії. Школярі уточнюють відповідність наявних рис професійно важливим рисами обраної професії, стану здоров'я - вимогам обраної професії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Звертається увага не тільки на психофізіологічні риси школярів, необхідні для оволодіння професією, а й відбувається корекція вибору старшокласників,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ідлітки отримують допомогу в самооцінці своїх здібностей і нахилів</w:t>
            </w:r>
          </w:p>
        </w:tc>
      </w:tr>
      <w:tr w:rsidR="00175887" w:rsidRPr="00175887" w:rsidTr="00175887">
        <w:trPr>
          <w:trHeight w:val="30"/>
          <w:tblCellSpacing w:w="15" w:type="dxa"/>
        </w:trPr>
        <w:tc>
          <w:tcPr>
            <w:tcW w:w="0" w:type="auto"/>
            <w:gridSpan w:val="3"/>
            <w:shd w:val="clear" w:color="auto" w:fill="F0E9CE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175887" w:rsidRPr="00175887" w:rsidRDefault="00175887" w:rsidP="00175887">
      <w:pPr>
        <w:shd w:val="clear" w:color="auto" w:fill="FFFFFF"/>
        <w:spacing w:before="225" w:after="135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lastRenderedPageBreak/>
        <w:t>Алгоритм профорієнтаційної діагностики та консультуванням школярі</w:t>
      </w:r>
      <w:proofErr w:type="gramStart"/>
      <w:r w:rsidRPr="00175887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</w:t>
      </w:r>
      <w:proofErr w:type="gramEnd"/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</w:t>
      </w:r>
      <w:proofErr w:type="gramEnd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ізвище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gramStart"/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м'я</w:t>
      </w:r>
      <w:proofErr w:type="gramEnd"/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батькові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народження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Стан здоров'я: а) здоровий; б) функціональні відхилення; в) хронічні захворювання.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Інтереси і схильності: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ДДО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_Т_Ч_3_Х_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Картка інтересів (методика А.Голомштока):</w:t>
      </w:r>
    </w:p>
    <w:tbl>
      <w:tblPr>
        <w:tblW w:w="7320" w:type="dxa"/>
        <w:tblCellSpacing w:w="1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15"/>
        <w:gridCol w:w="1215"/>
        <w:gridCol w:w="1215"/>
        <w:gridCol w:w="1215"/>
        <w:gridCol w:w="1230"/>
      </w:tblGrid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6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12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18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24</w:t>
            </w:r>
          </w:p>
        </w:tc>
      </w:tr>
    </w:tbl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Комунікативні й організаторські схильності: 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Кк-1,2, 3, 4, 5. 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До-1,2, 3, 4, 5.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Улюблені предмети: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Улюблені заняття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вільний час: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Яка галузь діяльності або знань найбільше цікавить: 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а) природничо-наукова (хімія, біологія, медицина, геологія, с/г);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точні науки (математика, фізика); 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в) суспільно-наукова (історія, політологія, філософія, економіка, право);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г) гуманітарна (література, журналістика, лінгвістика, педагогіка, психологія);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д) мистецтво (музичне, театральне, образотворче);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є) інтереси відсутні.</w:t>
      </w:r>
      <w:proofErr w:type="gramEnd"/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Виразність професійних інтересів і схильностей: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 xml:space="preserve">а) яскраво виражені (у якій галузі діяльності,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ідкреслити): сфера мистецтв, технічних інтересів, роботи з людьми, розумової праці, фізичної праці, матеріальних інтересів;</w:t>
      </w: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б) не виражені.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Наявність професійного плану:</w:t>
      </w:r>
    </w:p>
    <w:p w:rsidR="00175887" w:rsidRPr="00175887" w:rsidRDefault="00175887" w:rsidP="00175887">
      <w:pPr>
        <w:numPr>
          <w:ilvl w:val="1"/>
          <w:numId w:val="11"/>
        </w:numPr>
        <w:shd w:val="clear" w:color="auto" w:fill="FFFFFF"/>
        <w:spacing w:after="45" w:line="240" w:lineRule="auto"/>
        <w:ind w:left="63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яку професію вибрали;</w:t>
      </w:r>
    </w:p>
    <w:p w:rsidR="00175887" w:rsidRPr="00175887" w:rsidRDefault="00175887" w:rsidP="00175887">
      <w:pPr>
        <w:numPr>
          <w:ilvl w:val="1"/>
          <w:numId w:val="11"/>
        </w:numPr>
        <w:shd w:val="clear" w:color="auto" w:fill="FFFFFF"/>
        <w:spacing w:after="45" w:line="240" w:lineRule="auto"/>
        <w:ind w:left="63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яку професію хоче обрати;</w:t>
      </w:r>
    </w:p>
    <w:p w:rsidR="00175887" w:rsidRPr="00175887" w:rsidRDefault="00175887" w:rsidP="00175887">
      <w:pPr>
        <w:numPr>
          <w:ilvl w:val="1"/>
          <w:numId w:val="11"/>
        </w:numPr>
        <w:shd w:val="clear" w:color="auto" w:fill="FFFFFF"/>
        <w:spacing w:after="45" w:line="240" w:lineRule="auto"/>
        <w:ind w:left="63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 якому навчальному закладі хотіли б учитися;</w:t>
      </w:r>
    </w:p>
    <w:p w:rsidR="00175887" w:rsidRPr="00175887" w:rsidRDefault="00175887" w:rsidP="00175887">
      <w:pPr>
        <w:numPr>
          <w:ilvl w:val="1"/>
          <w:numId w:val="11"/>
        </w:numPr>
        <w:shd w:val="clear" w:color="auto" w:fill="FFFFFF"/>
        <w:spacing w:after="45" w:line="240" w:lineRule="auto"/>
        <w:ind w:left="63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яку професію радять обрати батьки.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Інформованість про 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св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іт професій: а) повна; б) недостатня; в) відсутня.</w:t>
      </w:r>
    </w:p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Усвідомленість вибору професії (анкета "Вибі</w:t>
      </w: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професії"):</w:t>
      </w:r>
    </w:p>
    <w:tbl>
      <w:tblPr>
        <w:tblW w:w="7320" w:type="dxa"/>
        <w:tblCellSpacing w:w="1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"/>
        <w:gridCol w:w="970"/>
        <w:gridCol w:w="970"/>
        <w:gridCol w:w="564"/>
        <w:gridCol w:w="822"/>
      </w:tblGrid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10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Вибі</w:t>
            </w:r>
            <w:proofErr w:type="gramStart"/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 xml:space="preserve"> професії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rHeight w:val="30"/>
          <w:tblCellSpacing w:w="15" w:type="dxa"/>
        </w:trPr>
        <w:tc>
          <w:tcPr>
            <w:tcW w:w="0" w:type="auto"/>
            <w:gridSpan w:val="6"/>
            <w:shd w:val="clear" w:color="auto" w:fill="F0E9CE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Головні мотиви (методика "Мотиви вибору професії"):</w:t>
      </w:r>
    </w:p>
    <w:tbl>
      <w:tblPr>
        <w:tblW w:w="7320" w:type="dxa"/>
        <w:tblCellSpacing w:w="1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811"/>
        <w:gridCol w:w="811"/>
        <w:gridCol w:w="474"/>
        <w:gridCol w:w="691"/>
      </w:tblGrid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b/>
                <w:bCs/>
                <w:color w:val="5C4F21"/>
                <w:sz w:val="20"/>
                <w:szCs w:val="20"/>
                <w:lang w:eastAsia="ru-RU"/>
              </w:rPr>
              <w:t>10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Мотиви вибору професії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Times New Roman" w:eastAsia="Times New Roman" w:hAnsi="Times New Roman" w:cs="Times New Roman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rHeight w:val="30"/>
          <w:tblCellSpacing w:w="15" w:type="dxa"/>
        </w:trPr>
        <w:tc>
          <w:tcPr>
            <w:tcW w:w="0" w:type="auto"/>
            <w:gridSpan w:val="5"/>
            <w:shd w:val="clear" w:color="auto" w:fill="F0E9CE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4F21"/>
                <w:sz w:val="4"/>
                <w:szCs w:val="20"/>
                <w:lang w:eastAsia="ru-RU"/>
              </w:rPr>
            </w:pPr>
          </w:p>
        </w:tc>
      </w:tr>
    </w:tbl>
    <w:p w:rsidR="00175887" w:rsidRPr="00175887" w:rsidRDefault="00175887" w:rsidP="00175887">
      <w:pPr>
        <w:numPr>
          <w:ilvl w:val="0"/>
          <w:numId w:val="11"/>
        </w:numPr>
        <w:shd w:val="clear" w:color="auto" w:fill="FFFFFF"/>
        <w:spacing w:after="45" w:line="240" w:lineRule="auto"/>
        <w:ind w:left="36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Сформован</w:t>
      </w:r>
      <w:proofErr w:type="gramEnd"/>
      <w:r w:rsidRPr="00175887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ість професійного плану: а) сформований; б) частково сформований; в) несформований.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Висновок: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учень не має потреби в поглибленій профконсультації (профплан обгрунтований, сформований у процесі консультації);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учень має потребу в поглибленій профконсультації.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Рекомендації: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Сфера діяльності, професія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Шлях професіоналізації (варіанти і версії планів продовження освіти)</w:t>
      </w:r>
    </w:p>
    <w:p w:rsidR="00175887" w:rsidRPr="00175887" w:rsidRDefault="00175887" w:rsidP="00175887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Протипоказані сфери діяльності</w:t>
      </w:r>
    </w:p>
    <w:p w:rsidR="00175887" w:rsidRPr="00175887" w:rsidRDefault="00175887" w:rsidP="00175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88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Таблиця 4 - Програма поглибленої діагностики</w:t>
      </w:r>
    </w:p>
    <w:tbl>
      <w:tblPr>
        <w:tblW w:w="76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742"/>
        <w:gridCol w:w="499"/>
        <w:gridCol w:w="866"/>
        <w:gridCol w:w="866"/>
        <w:gridCol w:w="500"/>
        <w:gridCol w:w="744"/>
      </w:tblGrid>
      <w:tr w:rsidR="00175887" w:rsidRPr="00175887" w:rsidTr="00175887">
        <w:trPr>
          <w:tblCellSpacing w:w="15" w:type="dxa"/>
        </w:trPr>
        <w:tc>
          <w:tcPr>
            <w:tcW w:w="250" w:type="pct"/>
            <w:vMerge w:val="restar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п</w:t>
            </w:r>
            <w:proofErr w:type="gramEnd"/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pct"/>
            <w:vMerge w:val="restart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Класи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E9C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b/>
                <w:bCs/>
                <w:color w:val="5C4F21"/>
                <w:sz w:val="20"/>
                <w:szCs w:val="20"/>
                <w:lang w:eastAsia="ru-RU"/>
              </w:rPr>
              <w:t>10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Пров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ідний мотив навчання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Анкета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ізнавальної спрямованості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Опитувальник Йовайши (схильність до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ізних сфер професійної</w:t>
            </w: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br/>
              <w:t>дальності)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Опитувальник "За і проти" (професійні схильності і переваги)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Опитувальник професійних переваг (за Дж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.Х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олландом)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Опитувальник виявлення кращих завдань праці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Опитувальник для вивчення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пров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ідних мотивів профдіяльності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Анкета спрямованості особистості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Методика "Проблемна анкета"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shd w:val="clear" w:color="auto" w:fill="FFFBE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i/>
                <w:iCs/>
                <w:color w:val="5C4F21"/>
                <w:sz w:val="20"/>
                <w:szCs w:val="20"/>
                <w:lang w:eastAsia="ru-RU"/>
              </w:rPr>
              <w:t xml:space="preserve">Вивчення індивідуально-психофізіологічних особливостей учнів </w:t>
            </w:r>
            <w:proofErr w:type="gramStart"/>
            <w:r w:rsidRPr="00175887">
              <w:rPr>
                <w:rFonts w:ascii="Arial" w:eastAsia="Times New Roman" w:hAnsi="Arial" w:cs="Arial"/>
                <w:i/>
                <w:iCs/>
                <w:color w:val="5C4F21"/>
                <w:sz w:val="20"/>
                <w:szCs w:val="20"/>
                <w:lang w:eastAsia="ru-RU"/>
              </w:rPr>
              <w:t>в</w:t>
            </w:r>
            <w:proofErr w:type="gramEnd"/>
            <w:r w:rsidRPr="00175887">
              <w:rPr>
                <w:rFonts w:ascii="Arial" w:eastAsia="Times New Roman" w:hAnsi="Arial" w:cs="Arial"/>
                <w:i/>
                <w:iCs/>
                <w:color w:val="5C4F21"/>
                <w:sz w:val="20"/>
                <w:szCs w:val="20"/>
                <w:lang w:eastAsia="ru-RU"/>
              </w:rPr>
              <w:t>ідповідно до вибору професії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Оцінка емоційної сфери (методика Спілбергера)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Самооцінка станів тривожності, фрустрації, агресивності й ригідності (методика М. Айзенка)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Діагностика схильності до стресів (методики Дж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.Д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женкінсона)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 xml:space="preserve">Діагностика </w:t>
            </w:r>
            <w:proofErr w:type="gramStart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р</w:t>
            </w:r>
            <w:proofErr w:type="gramEnd"/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івня невротизації (методика Л.Вассермана)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</w:tr>
      <w:tr w:rsidR="00175887" w:rsidRPr="00175887" w:rsidTr="001758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</w:pPr>
            <w:r w:rsidRPr="00175887">
              <w:rPr>
                <w:rFonts w:ascii="Arial" w:eastAsia="Times New Roman" w:hAnsi="Arial" w:cs="Arial"/>
                <w:color w:val="5C4F21"/>
                <w:sz w:val="20"/>
                <w:szCs w:val="20"/>
                <w:lang w:eastAsia="ru-RU"/>
              </w:rPr>
              <w:t>Діагностика оперативної оцінки самопочуття, активності і настрою (методика "САН")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5887" w:rsidRPr="00175887" w:rsidRDefault="00175887" w:rsidP="0017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887" w:rsidRPr="00175887" w:rsidRDefault="00175887">
      <w:pPr>
        <w:rPr>
          <w:lang w:val="uk-UA"/>
        </w:rPr>
      </w:pPr>
    </w:p>
    <w:sectPr w:rsidR="00175887" w:rsidRPr="0017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CA9"/>
    <w:multiLevelType w:val="multilevel"/>
    <w:tmpl w:val="BB78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3325D"/>
    <w:multiLevelType w:val="multilevel"/>
    <w:tmpl w:val="891C6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E0CF6"/>
    <w:multiLevelType w:val="multilevel"/>
    <w:tmpl w:val="BF66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6316E"/>
    <w:multiLevelType w:val="multilevel"/>
    <w:tmpl w:val="25942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11E9"/>
    <w:multiLevelType w:val="multilevel"/>
    <w:tmpl w:val="740E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2E0A"/>
    <w:multiLevelType w:val="multilevel"/>
    <w:tmpl w:val="EE503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031E8"/>
    <w:multiLevelType w:val="multilevel"/>
    <w:tmpl w:val="9B78D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71D09"/>
    <w:multiLevelType w:val="multilevel"/>
    <w:tmpl w:val="153CE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F1CE4"/>
    <w:multiLevelType w:val="multilevel"/>
    <w:tmpl w:val="2FD8E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24EF0"/>
    <w:multiLevelType w:val="multilevel"/>
    <w:tmpl w:val="24E6F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744BE"/>
    <w:multiLevelType w:val="multilevel"/>
    <w:tmpl w:val="D0C21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E"/>
    <w:rsid w:val="00146DD3"/>
    <w:rsid w:val="00175887"/>
    <w:rsid w:val="00590FBE"/>
    <w:rsid w:val="00A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16599</Words>
  <Characters>9462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Багдасарова</dc:creator>
  <cp:keywords/>
  <dc:description/>
  <cp:lastModifiedBy>user02</cp:lastModifiedBy>
  <cp:revision>4</cp:revision>
  <cp:lastPrinted>2014-03-27T14:30:00Z</cp:lastPrinted>
  <dcterms:created xsi:type="dcterms:W3CDTF">2013-12-20T14:22:00Z</dcterms:created>
  <dcterms:modified xsi:type="dcterms:W3CDTF">2014-03-27T14:31:00Z</dcterms:modified>
</cp:coreProperties>
</file>